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ook w:firstColumn="1" w:firstRow="1" w:lastColumn="0" w:lastRow="0" w:noHBand="0" w:noVBand="1" w:val="04A0"/>
        <w:tblLayout w:type="fixed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56"/>
        <w:gridCol w:w="2303"/>
      </w:tblGrid>
      <w:tr>
        <w:tc>
          <w:tcPr>
            <w:tcW w:type="dxa" w:w="4680"/>
          </w:tcPr>
          <w:p>
            <w:pPr>
              <w:spacing w:after="0"/>
            </w:pPr>
            <w:r>
              <w:rPr>
                <w:rFonts w:ascii="Inter" w:hAnsi="Inter"/>
                <w:b/>
                <w:color w:val="FFFFFF"/>
                <w:sz w:val="18"/>
                <w:shd w:val="clear" w:color="auto" w:fill="C8392F"/>
              </w:rPr>
              <w:t xml:space="preserve"> CPP </w:t>
            </w:r>
            <w:r>
              <w:rPr>
                <w:rFonts w:ascii="Inter" w:hAnsi="Inter"/>
                <w:b/>
                <w:color w:val="0D1B2A"/>
                <w:sz w:val="21"/>
              </w:rPr>
              <w:t xml:space="preserve">  Critical Path Partners</w:t>
            </w:r>
            <w:r>
              <w:rPr>
                <w:rFonts w:ascii="Inter" w:hAnsi="Inter"/>
                <w:color w:val="33455A"/>
                <w:sz w:val="18"/>
              </w:rPr>
              <w:t xml:space="preserve">   Forensic schedule analysis</w:t>
            </w:r>
          </w:p>
        </w:tc>
        <w:tc>
          <w:tcPr>
            <w:tcW w:type="dxa" w:w="4680"/>
          </w:tcPr>
          <w:p>
            <w:pPr>
              <w:spacing w:after="0"/>
              <w:jc w:val="right"/>
            </w:pPr>
            <w:r>
              <w:rPr>
                <w:rFonts w:ascii="Consolas" w:hAnsi="Consolas"/>
                <w:color w:val="33455A"/>
                <w:sz w:val="16"/>
              </w:rPr>
              <w:t>CPP-EOT-INDEX / CCDC 2 - 2020, Contract No. OCC-B2-2025 (Demo Data)</w:t>
            </w:r>
          </w:p>
        </w:tc>
      </w:tr>
    </w:tbl>
    <w:p>
      <w:pPr>
        <w:spacing w:before="60" w:after="200"/>
        <w:pBdr>
          <w:bottom w:val="single" w:sz="8" w:space="4" w:color="0F2540"/>
        </w:pBdr>
      </w:pP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360"/>
      </w:tblGrid>
      <w:tr>
        <w:tc>
          <w:tcPr>
            <w:tcW w:type="dxa" w:w="9360"/>
          </w:tcPr>
          <w:p>
            <w:pPr>
              <w:spacing w:after="40"/>
            </w:pPr>
            <w:r>
              <w:rPr>
                <w:rFonts w:ascii="Inter" w:hAnsi="Inter"/>
                <w:b/>
                <w:color w:val="0D1B2A"/>
                <w:sz w:val="44"/>
              </w:rPr>
              <w:t>Ontario Community College - B2 (Demo Data)</w:t>
            </w:r>
          </w:p>
          <w:p>
            <w:pPr>
              <w:spacing w:after="80"/>
            </w:pPr>
            <w:r>
              <w:rPr>
                <w:rFonts w:ascii="Inter" w:hAnsi="Inter"/>
                <w:color w:val="33455A"/>
                <w:sz w:val="23"/>
              </w:rPr>
              <w:t>Supporting Documents Index</w:t>
            </w:r>
          </w:p>
          <w:p>
            <w:pPr>
              <w:spacing w:before="80" w:after="0"/>
            </w:pPr>
            <w:r>
              <w:rPr>
                <w:rFonts w:ascii="Inter" w:hAnsi="Inter"/>
                <w:color w:val="33455A"/>
                <w:sz w:val="17"/>
              </w:rPr>
              <w:t xml:space="preserve">Compiled  </w:t>
            </w:r>
            <w:r>
              <w:rPr>
                <w:rFonts w:ascii="Inter" w:hAnsi="Inter"/>
                <w:b/>
                <w:color w:val="0D1B2A"/>
                <w:sz w:val="19"/>
              </w:rPr>
              <w:t>01 Sep 2026</w:t>
            </w:r>
            <w:r>
              <w:rPr>
                <w:rFonts w:ascii="Inter" w:hAnsi="Inter"/>
              </w:rPr>
              <w:t xml:space="preserve">    </w:t>
            </w:r>
            <w:r>
              <w:rPr>
                <w:rFonts w:ascii="Inter" w:hAnsi="Inter"/>
                <w:color w:val="33455A"/>
                <w:sz w:val="17"/>
              </w:rPr>
              <w:t xml:space="preserve">Total Docs  </w:t>
            </w:r>
            <w:r>
              <w:rPr>
                <w:rFonts w:ascii="Inter" w:hAnsi="Inter"/>
                <w:b/>
                <w:color w:val="0D1B2A"/>
                <w:sz w:val="19"/>
              </w:rPr>
              <w:t>5</w:t>
            </w:r>
          </w:p>
        </w:tc>
      </w:tr>
    </w:tbl>
    <w:p>
      <w:pPr>
        <w:spacing w:after="80"/>
      </w:pP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sz="16" w:space="0" w:color="0F2540"/>
            </w:tcBorders>
          </w:tcPr>
          <w:p>
            <w:pPr>
              <w:spacing w:before="80" w:after="40"/>
            </w:pPr>
            <w:r/>
            <w:r>
              <w:rPr>
                <w:rFonts w:ascii="Inter" w:hAnsi="Inter"/>
                <w:color w:val="33455A"/>
                <w:sz w:val="17"/>
              </w:rPr>
              <w:t>D-Series</w:t>
            </w:r>
          </w:p>
          <w:p>
            <w:pPr>
              <w:spacing w:after="40"/>
            </w:pPr>
            <w:r>
              <w:rPr>
                <w:rFonts w:ascii="Inter" w:hAnsi="Inter"/>
                <w:b/>
                <w:color w:val="0D1B2A"/>
                <w:sz w:val="48"/>
              </w:rPr>
              <w:t>5</w:t>
            </w:r>
          </w:p>
          <w:p>
            <w:r>
              <w:rPr>
                <w:rFonts w:ascii="Inter" w:hAnsi="Inter"/>
                <w:color w:val="33455A"/>
                <w:sz w:val="16"/>
              </w:rPr>
              <w:t>contractor docs</w:t>
            </w:r>
          </w:p>
        </w:tc>
        <w:tc>
          <w:tcPr>
            <w:tcW w:type="dxa" w:w="3120"/>
            <w:tcBorders>
              <w:top w:val="single" w:sz="16" w:space="0" w:color="0F2540"/>
            </w:tcBorders>
          </w:tcPr>
          <w:p>
            <w:pPr>
              <w:spacing w:before="80" w:after="40"/>
            </w:pPr>
            <w:r/>
            <w:r>
              <w:rPr>
                <w:rFonts w:ascii="Inter" w:hAnsi="Inter"/>
                <w:color w:val="33455A"/>
                <w:sz w:val="17"/>
              </w:rPr>
              <w:t>E-Series</w:t>
            </w:r>
          </w:p>
          <w:p>
            <w:pPr>
              <w:spacing w:after="40"/>
            </w:pPr>
            <w:r>
              <w:rPr>
                <w:rFonts w:ascii="Inter" w:hAnsi="Inter"/>
                <w:b/>
                <w:color w:val="0D1B2A"/>
                <w:sz w:val="48"/>
              </w:rPr>
              <w:t>0</w:t>
            </w:r>
          </w:p>
          <w:p>
            <w:r>
              <w:rPr>
                <w:rFonts w:ascii="Inter" w:hAnsi="Inter"/>
                <w:color w:val="33455A"/>
                <w:sz w:val="16"/>
              </w:rPr>
              <w:t>other party docs</w:t>
            </w:r>
          </w:p>
        </w:tc>
        <w:tc>
          <w:tcPr>
            <w:tcW w:type="dxa" w:w="3120"/>
            <w:tcBorders>
              <w:top w:val="single" w:sz="16" w:space="0" w:color="1E7A4D"/>
            </w:tcBorders>
          </w:tcPr>
          <w:p>
            <w:pPr>
              <w:spacing w:before="80" w:after="40"/>
            </w:pPr>
            <w:r/>
            <w:r>
              <w:rPr>
                <w:rFonts w:ascii="Inter" w:hAnsi="Inter"/>
                <w:color w:val="33455A"/>
                <w:sz w:val="17"/>
              </w:rPr>
              <w:t>Other</w:t>
            </w:r>
          </w:p>
          <w:p>
            <w:pPr>
              <w:spacing w:after="40"/>
            </w:pPr>
            <w:r>
              <w:rPr>
                <w:rFonts w:ascii="Inter" w:hAnsi="Inter"/>
                <w:b/>
                <w:color w:val="1E7A4D"/>
                <w:sz w:val="48"/>
              </w:rPr>
              <w:t>0</w:t>
            </w:r>
          </w:p>
          <w:p>
            <w:r>
              <w:rPr>
                <w:rFonts w:ascii="Inter" w:hAnsi="Inter"/>
                <w:color w:val="33455A"/>
                <w:sz w:val="16"/>
              </w:rPr>
              <w:t>reassign before send</w:t>
            </w:r>
          </w:p>
        </w:tc>
      </w:tr>
    </w:tbl>
    <w:p>
      <w:pPr>
        <w:spacing w:after="40"/>
      </w:pPr>
    </w:p>
    <w:p>
      <w:r>
        <w:rPr>
          <w:rFonts w:ascii="Inter" w:hAnsi="Inter"/>
          <w:b w:val="0"/>
          <w:color w:val="0D1B2A"/>
          <w:sz w:val="21"/>
        </w:rPr>
        <w:t>Document numbering convention: D-series = documents created by the contractor (notices, letters, claims). E-series = documents from other parties (owner responses, consultant letters, third-party acknowledgments).</w:t>
      </w:r>
    </w:p>
    <w:p>
      <w:pPr>
        <w:keepNext/>
        <w:spacing w:before="320" w:after="120"/>
        <w:pBdr>
          <w:bottom w:val="single" w:sz="6" w:space="4" w:color="C9D3DD"/>
        </w:pBdr>
      </w:pPr>
      <w:r>
        <w:rPr>
          <w:rFonts w:ascii="Inter" w:hAnsi="Inter"/>
          <w:b/>
          <w:color w:val="C8392F"/>
          <w:sz w:val="18"/>
        </w:rPr>
        <w:t>IDX-D</w:t>
      </w:r>
      <w:r>
        <w:t xml:space="preserve">   </w:t>
      </w:r>
      <w:r>
        <w:rPr>
          <w:rFonts w:ascii="Inter" w:hAnsi="Inter"/>
          <w:b/>
          <w:color w:val="0D1B2A"/>
          <w:sz w:val="27"/>
        </w:rPr>
        <w:t>D-Series — Contractor Documents (5)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  <w:tcBorders>
              <w:bottom w:val="single" w:sz="8" w:space="0" w:color="0F2540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/>
                <w:color w:val="33455A"/>
                <w:sz w:val="17"/>
              </w:rPr>
              <w:t>Doc #</w:t>
            </w:r>
          </w:p>
        </w:tc>
        <w:tc>
          <w:tcPr>
            <w:tcW w:type="dxa" w:w="1872"/>
            <w:tcBorders>
              <w:bottom w:val="single" w:sz="8" w:space="0" w:color="0F2540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/>
                <w:color w:val="33455A"/>
                <w:sz w:val="17"/>
              </w:rPr>
              <w:t>Title</w:t>
            </w:r>
          </w:p>
        </w:tc>
        <w:tc>
          <w:tcPr>
            <w:tcW w:type="dxa" w:w="1872"/>
            <w:tcBorders>
              <w:bottom w:val="single" w:sz="8" w:space="0" w:color="0F2540"/>
            </w:tcBorders>
            <w:vAlign w:val="center"/>
          </w:tcPr>
          <w:p>
            <w:pPr>
              <w:jc w:val="right"/>
            </w:pPr>
            <w:r/>
            <w:r>
              <w:rPr>
                <w:rFonts w:ascii="Inter" w:hAnsi="Inter"/>
                <w:b/>
                <w:color w:val="33455A"/>
                <w:sz w:val="17"/>
              </w:rPr>
              <w:t>Date</w:t>
            </w:r>
          </w:p>
        </w:tc>
        <w:tc>
          <w:tcPr>
            <w:tcW w:type="dxa" w:w="1872"/>
            <w:tcBorders>
              <w:bottom w:val="single" w:sz="8" w:space="0" w:color="0F2540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/>
                <w:color w:val="33455A"/>
                <w:sz w:val="17"/>
              </w:rPr>
              <w:t>Author</w:t>
            </w:r>
          </w:p>
        </w:tc>
        <w:tc>
          <w:tcPr>
            <w:tcW w:type="dxa" w:w="1872"/>
            <w:tcBorders>
              <w:bottom w:val="single" w:sz="8" w:space="0" w:color="0F2540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/>
                <w:color w:val="33455A"/>
                <w:sz w:val="17"/>
              </w:rPr>
              <w:t>Relevance</w:t>
            </w:r>
          </w:p>
        </w:tc>
      </w:tr>
      <w:tr>
        <w:tc>
          <w:tcPr>
            <w:tcW w:type="dxa" w:w="1872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Consolas" w:hAnsi="Consolas" w:cs="Consolas"/>
                <w:b/>
                <w:color w:val="0D1B2A"/>
                <w:sz w:val="19"/>
              </w:rPr>
              <w:t>D-1</w:t>
            </w:r>
          </w:p>
        </w:tc>
        <w:tc>
          <w:tcPr>
            <w:tcW w:type="dxa" w:w="1872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 w:val="0"/>
                <w:color w:val="0D1B2A"/>
                <w:sz w:val="19"/>
              </w:rPr>
              <w:t>Notice of Delay: fire-spray inspector hold</w:t>
            </w:r>
          </w:p>
        </w:tc>
        <w:tc>
          <w:tcPr>
            <w:tcW w:type="dxa" w:w="1872"/>
            <w:tcBorders>
              <w:bottom w:val="single" w:sz="4" w:space="0" w:color="C9D3DD"/>
            </w:tcBorders>
            <w:vAlign w:val="center"/>
          </w:tcPr>
          <w:p>
            <w:pPr>
              <w:jc w:val="right"/>
            </w:pPr>
            <w:r/>
            <w:r>
              <w:rPr>
                <w:rFonts w:ascii="Consolas" w:hAnsi="Consolas" w:cs="Consolas"/>
                <w:b w:val="0"/>
                <w:color w:val="0D1B2A"/>
                <w:sz w:val="19"/>
              </w:rPr>
              <w:t>12 Jun 2025</w:t>
            </w:r>
          </w:p>
        </w:tc>
        <w:tc>
          <w:tcPr>
            <w:tcW w:type="dxa" w:w="1872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 w:val="0"/>
                <w:color w:val="0D1B2A"/>
                <w:sz w:val="19"/>
              </w:rPr>
              <w:t>Northgate Constructors</w:t>
            </w:r>
          </w:p>
        </w:tc>
        <w:tc>
          <w:tcPr>
            <w:tcW w:type="dxa" w:w="1872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 w:val="0"/>
                <w:color w:val="0D1B2A"/>
                <w:sz w:val="19"/>
              </w:rPr>
              <w:t>Formal notice per GC 6.5.1 for event DE-01</w:t>
            </w:r>
          </w:p>
        </w:tc>
      </w:tr>
      <w:tr>
        <w:tc>
          <w:tcPr>
            <w:tcW w:type="dxa" w:w="1872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Consolas" w:hAnsi="Consolas" w:cs="Consolas"/>
                <w:b/>
                <w:color w:val="0D1B2A"/>
                <w:sz w:val="19"/>
              </w:rPr>
              <w:t>D-2</w:t>
            </w:r>
          </w:p>
        </w:tc>
        <w:tc>
          <w:tcPr>
            <w:tcW w:type="dxa" w:w="1872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 w:val="0"/>
                <w:color w:val="0D1B2A"/>
                <w:sz w:val="19"/>
              </w:rPr>
              <w:t>Owner letter: inspector availability and staged witnessing</w:t>
            </w:r>
          </w:p>
        </w:tc>
        <w:tc>
          <w:tcPr>
            <w:tcW w:type="dxa" w:w="1872"/>
            <w:tcBorders>
              <w:bottom w:val="single" w:sz="4" w:space="0" w:color="C9D3DD"/>
            </w:tcBorders>
            <w:vAlign w:val="center"/>
          </w:tcPr>
          <w:p>
            <w:pPr>
              <w:jc w:val="right"/>
            </w:pPr>
            <w:r/>
            <w:r>
              <w:rPr>
                <w:rFonts w:ascii="Consolas" w:hAnsi="Consolas" w:cs="Consolas"/>
                <w:b w:val="0"/>
                <w:color w:val="0D1B2A"/>
                <w:sz w:val="19"/>
              </w:rPr>
              <w:t>10 Jun 2025</w:t>
            </w:r>
          </w:p>
        </w:tc>
        <w:tc>
          <w:tcPr>
            <w:tcW w:type="dxa" w:w="1872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 w:val="0"/>
                <w:color w:val="0D1B2A"/>
                <w:sz w:val="19"/>
              </w:rPr>
              <w:t>Ontario Community College Owner Group</w:t>
            </w:r>
          </w:p>
        </w:tc>
        <w:tc>
          <w:tcPr>
            <w:tcW w:type="dxa" w:w="1872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 w:val="0"/>
                <w:color w:val="0D1B2A"/>
                <w:sz w:val="19"/>
              </w:rPr>
              <w:t>The direction giving rise to DE-01</w:t>
            </w:r>
          </w:p>
        </w:tc>
      </w:tr>
      <w:tr>
        <w:tc>
          <w:tcPr>
            <w:tcW w:type="dxa" w:w="1872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Consolas" w:hAnsi="Consolas" w:cs="Consolas"/>
                <w:b/>
                <w:color w:val="0D1B2A"/>
                <w:sz w:val="19"/>
              </w:rPr>
              <w:t>D-3</w:t>
            </w:r>
          </w:p>
        </w:tc>
        <w:tc>
          <w:tcPr>
            <w:tcW w:type="dxa" w:w="1872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 w:val="0"/>
                <w:color w:val="0D1B2A"/>
                <w:sz w:val="19"/>
              </w:rPr>
              <w:t>Baseline schedule of record (XER)</w:t>
            </w:r>
          </w:p>
        </w:tc>
        <w:tc>
          <w:tcPr>
            <w:tcW w:type="dxa" w:w="1872"/>
            <w:tcBorders>
              <w:bottom w:val="single" w:sz="4" w:space="0" w:color="C9D3DD"/>
            </w:tcBorders>
            <w:vAlign w:val="center"/>
          </w:tcPr>
          <w:p>
            <w:pPr>
              <w:jc w:val="right"/>
            </w:pPr>
            <w:r/>
            <w:r>
              <w:rPr>
                <w:rFonts w:ascii="Consolas" w:hAnsi="Consolas" w:cs="Consolas"/>
                <w:b w:val="0"/>
                <w:color w:val="0D1B2A"/>
                <w:sz w:val="19"/>
              </w:rPr>
              <w:t>01 Apr 2025</w:t>
            </w:r>
          </w:p>
        </w:tc>
        <w:tc>
          <w:tcPr>
            <w:tcW w:type="dxa" w:w="1872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 w:val="0"/>
                <w:color w:val="0D1B2A"/>
                <w:sz w:val="19"/>
              </w:rPr>
              <w:t>Northgate Constructors</w:t>
            </w:r>
          </w:p>
        </w:tc>
        <w:tc>
          <w:tcPr>
            <w:tcW w:type="dxa" w:w="1872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 w:val="0"/>
                <w:color w:val="0D1B2A"/>
                <w:sz w:val="19"/>
              </w:rPr>
              <w:t>Ontario_Community_College_baseline.xer; hash in the data pack manifest</w:t>
            </w:r>
          </w:p>
        </w:tc>
      </w:tr>
      <w:tr>
        <w:tc>
          <w:tcPr>
            <w:tcW w:type="dxa" w:w="1872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Consolas" w:hAnsi="Consolas" w:cs="Consolas"/>
                <w:b/>
                <w:color w:val="0D1B2A"/>
                <w:sz w:val="19"/>
              </w:rPr>
              <w:t>D-4</w:t>
            </w:r>
          </w:p>
        </w:tc>
        <w:tc>
          <w:tcPr>
            <w:tcW w:type="dxa" w:w="1872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 w:val="0"/>
                <w:color w:val="0D1B2A"/>
                <w:sz w:val="19"/>
              </w:rPr>
              <w:t>Schedule update, data date 01-Jul-2025 (XER)</w:t>
            </w:r>
          </w:p>
        </w:tc>
        <w:tc>
          <w:tcPr>
            <w:tcW w:type="dxa" w:w="1872"/>
            <w:tcBorders>
              <w:bottom w:val="single" w:sz="4" w:space="0" w:color="C9D3DD"/>
            </w:tcBorders>
            <w:vAlign w:val="center"/>
          </w:tcPr>
          <w:p>
            <w:pPr>
              <w:jc w:val="right"/>
            </w:pPr>
            <w:r/>
            <w:r>
              <w:rPr>
                <w:rFonts w:ascii="Consolas" w:hAnsi="Consolas" w:cs="Consolas"/>
                <w:b w:val="0"/>
                <w:color w:val="0D1B2A"/>
                <w:sz w:val="19"/>
              </w:rPr>
              <w:t>01 Jul 2025</w:t>
            </w:r>
          </w:p>
        </w:tc>
        <w:tc>
          <w:tcPr>
            <w:tcW w:type="dxa" w:w="1872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 w:val="0"/>
                <w:color w:val="0D1B2A"/>
                <w:sz w:val="19"/>
              </w:rPr>
              <w:t>Northgate Constructors</w:t>
            </w:r>
          </w:p>
        </w:tc>
        <w:tc>
          <w:tcPr>
            <w:tcW w:type="dxa" w:w="1872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 w:val="0"/>
                <w:color w:val="0D1B2A"/>
                <w:sz w:val="19"/>
              </w:rPr>
              <w:t>Ontario_Community_College_current.xer; hash in the data pack manifest</w:t>
            </w:r>
          </w:p>
        </w:tc>
      </w:tr>
      <w:tr>
        <w:tc>
          <w:tcPr>
            <w:tcW w:type="dxa" w:w="1872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Consolas" w:hAnsi="Consolas" w:cs="Consolas"/>
                <w:b/>
                <w:color w:val="0D1B2A"/>
                <w:sz w:val="19"/>
              </w:rPr>
              <w:t>D-5</w:t>
            </w:r>
          </w:p>
        </w:tc>
        <w:tc>
          <w:tcPr>
            <w:tcW w:type="dxa" w:w="1872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 w:val="0"/>
                <w:color w:val="0D1B2A"/>
                <w:sz w:val="19"/>
              </w:rPr>
              <w:t>Inspector witnessing log, June 2025</w:t>
            </w:r>
          </w:p>
        </w:tc>
        <w:tc>
          <w:tcPr>
            <w:tcW w:type="dxa" w:w="1872"/>
            <w:tcBorders>
              <w:bottom w:val="single" w:sz="4" w:space="0" w:color="C9D3DD"/>
            </w:tcBorders>
            <w:vAlign w:val="center"/>
          </w:tcPr>
          <w:p>
            <w:pPr>
              <w:jc w:val="right"/>
            </w:pPr>
            <w:r/>
            <w:r>
              <w:rPr>
                <w:rFonts w:ascii="Consolas" w:hAnsi="Consolas" w:cs="Consolas"/>
                <w:b w:val="0"/>
                <w:color w:val="0D1B2A"/>
                <w:sz w:val="19"/>
              </w:rPr>
              <w:t>30 Jun 2025</w:t>
            </w:r>
          </w:p>
        </w:tc>
        <w:tc>
          <w:tcPr>
            <w:tcW w:type="dxa" w:w="1872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 w:val="0"/>
                <w:color w:val="0D1B2A"/>
                <w:sz w:val="19"/>
              </w:rPr>
              <w:t>Ontario Community College Owner Group</w:t>
            </w:r>
          </w:p>
        </w:tc>
        <w:tc>
          <w:tcPr>
            <w:tcW w:type="dxa" w:w="1872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 w:val="0"/>
                <w:color w:val="0D1B2A"/>
                <w:sz w:val="19"/>
              </w:rPr>
              <w:t>Records the staged-witnessing restriction in effect</w:t>
            </w:r>
          </w:p>
        </w:tc>
      </w:tr>
    </w:tbl>
    <w:p>
      <w:pPr>
        <w:spacing w:after="40"/>
      </w:pPr>
    </w:p>
    <w:p>
      <w:pPr>
        <w:keepNext/>
        <w:spacing w:before="320" w:after="120"/>
        <w:pBdr>
          <w:bottom w:val="single" w:sz="6" w:space="4" w:color="C9D3DD"/>
        </w:pBdr>
      </w:pPr>
      <w:r>
        <w:rPr>
          <w:rFonts w:ascii="Inter" w:hAnsi="Inter"/>
          <w:b/>
          <w:color w:val="C8392F"/>
          <w:sz w:val="18"/>
        </w:rPr>
        <w:t>IDX-E</w:t>
      </w:r>
      <w:r>
        <w:t xml:space="preserve">   </w:t>
      </w:r>
      <w:r>
        <w:rPr>
          <w:rFonts w:ascii="Inter" w:hAnsi="Inter"/>
          <w:b/>
          <w:color w:val="0D1B2A"/>
          <w:sz w:val="27"/>
        </w:rPr>
        <w:t>E-Series — Other Party Documents (0)</w:t>
      </w:r>
    </w:p>
    <w:p>
      <w:r>
        <w:rPr>
          <w:rFonts w:ascii="Inter" w:hAnsi="Inter"/>
          <w:b w:val="0"/>
          <w:color w:val="0D1B2A"/>
          <w:sz w:val="21"/>
        </w:rPr>
        <w:t>No E-series documents listed.</w:t>
      </w:r>
    </w:p>
    <w:sectPr w:rsidR="00FC693F" w:rsidRPr="0006063C" w:rsidSect="00034616">
      <w:footerReference w:type="default" r:id="rId9"/>
      <w:pgSz w:w="12240" w:h="15840"/>
      <w:pgMar w:top="1296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left"/>
      <w:pBdr>
        <w:top w:val="single" w:sz="6" w:space="4" w:color="C9D3DD"/>
      </w:pBdr>
    </w:pPr>
    <w:r/>
    <w:r>
      <w:rPr>
        <w:rFonts w:ascii="Inter" w:hAnsi="Inter"/>
        <w:color w:val="33455A"/>
        <w:sz w:val="15"/>
      </w:rPr>
      <w:t xml:space="preserve">Generated </w:t>
    </w:r>
    <w:r>
      <w:rPr>
        <w:rFonts w:ascii="Inter" w:hAnsi="Inter"/>
        <w:b/>
        <w:color w:val="0D1B2A"/>
        <w:sz w:val="15"/>
      </w:rPr>
      <w:t>01 Sep 2026</w:t>
    </w:r>
    <w:r>
      <w:rPr>
        <w:rFonts w:ascii="Inter" w:hAnsi="Inter"/>
        <w:color w:val="33455A"/>
        <w:sz w:val="15"/>
      </w:rPr>
      <w:t xml:space="preserve">  ·  </w:t>
    </w:r>
    <w:r>
      <w:rPr>
        <w:rFonts w:ascii="Inter" w:hAnsi="Inter"/>
        <w:color w:val="33455A"/>
        <w:sz w:val="15"/>
      </w:rPr>
      <w:t xml:space="preserve">Source </w:t>
    </w:r>
    <w:r>
      <w:rPr>
        <w:rFonts w:ascii="Inter" w:hAnsi="Inter"/>
        <w:b/>
        <w:color w:val="0D1B2A"/>
        <w:sz w:val="15"/>
      </w:rPr>
      <w:t>CCDC 2 - 2020, Contract No. OCC-B2-2025 (Demo Data)</w:t>
    </w:r>
    <w:r>
      <w:rPr>
        <w:rFonts w:ascii="Inter" w:hAnsi="Inter"/>
        <w:color w:val="33455A"/>
        <w:sz w:val="15"/>
      </w:rPr>
      <w:t xml:space="preserve">  ·  </w:t>
    </w:r>
    <w:r>
      <w:rPr>
        <w:rFonts w:ascii="Inter" w:hAnsi="Inter"/>
        <w:color w:val="33455A"/>
        <w:sz w:val="15"/>
      </w:rPr>
      <w:t xml:space="preserve">Engine </w:t>
    </w:r>
    <w:r>
      <w:rPr>
        <w:rFonts w:ascii="Consolas" w:hAnsi="Consolas"/>
        <w:b/>
        <w:color w:val="0D1B2A"/>
        <w:sz w:val="15"/>
      </w:rPr>
      <w:t>CPP claims-preparation · CPP cpm-engine v2.9.42</w:t>
    </w:r>
  </w:p>
  <w:p>
    <w:pPr>
      <w:spacing w:before="0"/>
    </w:pPr>
    <w:r>
      <w:rPr>
        <w:rFonts w:ascii="Inter" w:hAnsi="Inter"/>
        <w:color w:val="33455A"/>
        <w:sz w:val="15"/>
      </w:rPr>
      <w:t>Reproducible · every figure traceable to source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88" w:lineRule="auto"/>
    </w:pPr>
    <w:rPr>
      <w:rFonts w:ascii="Inter" w:hAnsi="Inter"/>
      <w:color w:val="0D1B2A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 w:ascii="Inter" w:hAnsi="Inter"/>
      <w:b/>
      <w:bCs/>
      <w:color w:val="0D1B2A"/>
      <w:sz w:val="4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20"/>
      <w:outlineLvl w:val="1"/>
    </w:pPr>
    <w:rPr>
      <w:rFonts w:asciiTheme="majorHAnsi" w:eastAsiaTheme="majorEastAsia" w:hAnsiTheme="majorHAnsi" w:cstheme="majorBidi" w:ascii="Inter" w:hAnsi="Inter"/>
      <w:b/>
      <w:bCs/>
      <w:color w:val="0D1B2A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80"/>
      <w:outlineLvl w:val="2"/>
    </w:pPr>
    <w:rPr>
      <w:rFonts w:asciiTheme="majorHAnsi" w:eastAsiaTheme="majorEastAsia" w:hAnsiTheme="majorHAnsi" w:cstheme="majorBidi" w:ascii="Inter" w:hAnsi="Inter"/>
      <w:b/>
      <w:bCs/>
      <w:color w:val="0F2540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Inter" w:hAnsi="Inter"/>
      <w:b/>
      <w:color w:val="0D1B2A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CPPMono">
    <w:name w:val="CPP Mono"/>
    <w:rPr>
      <w:rFonts w:ascii="Consolas" w:hAnsi="Consolas" w:cs="Consolas"/>
      <w:color w:val="0D1B2A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